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28" w:rsidRPr="006805F3" w:rsidRDefault="00800128" w:rsidP="00800128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6805F3">
        <w:rPr>
          <w:rFonts w:ascii="Times New Roman" w:hAnsi="Times New Roman" w:cs="Times New Roman"/>
          <w:sz w:val="22"/>
          <w:szCs w:val="22"/>
        </w:rPr>
        <w:t>February 2, 2018</w:t>
      </w:r>
    </w:p>
    <w:p w:rsidR="00A36F10" w:rsidRPr="006805F3" w:rsidRDefault="00A36F10" w:rsidP="00A36F10">
      <w:pPr>
        <w:rPr>
          <w:sz w:val="22"/>
          <w:szCs w:val="22"/>
        </w:rPr>
      </w:pPr>
    </w:p>
    <w:p w:rsidR="00800128" w:rsidRPr="006805F3" w:rsidRDefault="00800128" w:rsidP="00800128">
      <w:pPr>
        <w:rPr>
          <w:sz w:val="22"/>
          <w:szCs w:val="22"/>
        </w:rPr>
      </w:pPr>
      <w:r w:rsidRPr="006805F3">
        <w:rPr>
          <w:sz w:val="22"/>
          <w:szCs w:val="22"/>
        </w:rPr>
        <w:t xml:space="preserve">Council convened for the regular monthly meeting at 8 PM at the </w:t>
      </w:r>
      <w:proofErr w:type="spellStart"/>
      <w:r w:rsidRPr="006805F3">
        <w:rPr>
          <w:sz w:val="22"/>
          <w:szCs w:val="22"/>
        </w:rPr>
        <w:t>Prompton</w:t>
      </w:r>
      <w:proofErr w:type="spellEnd"/>
      <w:r w:rsidRPr="006805F3">
        <w:rPr>
          <w:sz w:val="22"/>
          <w:szCs w:val="22"/>
        </w:rPr>
        <w:t xml:space="preserve"> Fire Hall.  Members attending were Mayor Stacy </w:t>
      </w:r>
      <w:proofErr w:type="spellStart"/>
      <w:r w:rsidRPr="006805F3">
        <w:rPr>
          <w:sz w:val="22"/>
          <w:szCs w:val="22"/>
        </w:rPr>
        <w:t>Wentzel</w:t>
      </w:r>
      <w:proofErr w:type="spellEnd"/>
      <w:r w:rsidRPr="006805F3">
        <w:rPr>
          <w:sz w:val="22"/>
          <w:szCs w:val="22"/>
        </w:rPr>
        <w:t xml:space="preserve">, President Brian </w:t>
      </w:r>
      <w:proofErr w:type="spellStart"/>
      <w:r w:rsidRPr="006805F3">
        <w:rPr>
          <w:sz w:val="22"/>
          <w:szCs w:val="22"/>
        </w:rPr>
        <w:t>Mikulewicz</w:t>
      </w:r>
      <w:proofErr w:type="spellEnd"/>
      <w:r w:rsidRPr="006805F3">
        <w:rPr>
          <w:sz w:val="22"/>
          <w:szCs w:val="22"/>
        </w:rPr>
        <w:t xml:space="preserve">, Robert </w:t>
      </w:r>
      <w:proofErr w:type="spellStart"/>
      <w:r w:rsidRPr="006805F3">
        <w:rPr>
          <w:sz w:val="22"/>
          <w:szCs w:val="22"/>
        </w:rPr>
        <w:t>Mikulewicz</w:t>
      </w:r>
      <w:proofErr w:type="spellEnd"/>
      <w:r w:rsidRPr="006805F3">
        <w:rPr>
          <w:sz w:val="22"/>
          <w:szCs w:val="22"/>
        </w:rPr>
        <w:t xml:space="preserve">, Dale Odell, Allen </w:t>
      </w:r>
      <w:proofErr w:type="spellStart"/>
      <w:r w:rsidRPr="006805F3">
        <w:rPr>
          <w:sz w:val="22"/>
          <w:szCs w:val="22"/>
        </w:rPr>
        <w:t>Heberling</w:t>
      </w:r>
      <w:proofErr w:type="spellEnd"/>
      <w:r w:rsidRPr="006805F3">
        <w:rPr>
          <w:sz w:val="22"/>
          <w:szCs w:val="22"/>
        </w:rPr>
        <w:t xml:space="preserve">, Lynn </w:t>
      </w:r>
      <w:proofErr w:type="spellStart"/>
      <w:r w:rsidRPr="006805F3">
        <w:rPr>
          <w:sz w:val="22"/>
          <w:szCs w:val="22"/>
        </w:rPr>
        <w:t>Holl</w:t>
      </w:r>
      <w:proofErr w:type="spellEnd"/>
      <w:r w:rsidRPr="006805F3">
        <w:rPr>
          <w:sz w:val="22"/>
          <w:szCs w:val="22"/>
        </w:rPr>
        <w:t xml:space="preserve">, Kirk Fries and Gene </w:t>
      </w:r>
      <w:proofErr w:type="spellStart"/>
      <w:r w:rsidRPr="006805F3">
        <w:rPr>
          <w:sz w:val="22"/>
          <w:szCs w:val="22"/>
        </w:rPr>
        <w:t>Mohrmann</w:t>
      </w:r>
      <w:proofErr w:type="spellEnd"/>
      <w:r w:rsidRPr="006805F3">
        <w:rPr>
          <w:sz w:val="22"/>
          <w:szCs w:val="22"/>
        </w:rPr>
        <w:t>.  Also present was</w:t>
      </w:r>
      <w:r w:rsidR="00E00064" w:rsidRPr="006805F3">
        <w:rPr>
          <w:sz w:val="22"/>
          <w:szCs w:val="22"/>
        </w:rPr>
        <w:t xml:space="preserve"> PSP Trooper</w:t>
      </w:r>
      <w:r w:rsidRPr="006805F3">
        <w:rPr>
          <w:sz w:val="22"/>
          <w:szCs w:val="22"/>
        </w:rPr>
        <w:t xml:space="preserve"> John </w:t>
      </w:r>
      <w:proofErr w:type="spellStart"/>
      <w:r w:rsidRPr="006805F3">
        <w:rPr>
          <w:sz w:val="22"/>
          <w:szCs w:val="22"/>
        </w:rPr>
        <w:t>Chervanka</w:t>
      </w:r>
      <w:proofErr w:type="spellEnd"/>
      <w:r w:rsidRPr="006805F3">
        <w:rPr>
          <w:sz w:val="22"/>
          <w:szCs w:val="22"/>
        </w:rPr>
        <w:t xml:space="preserve"> and Secretary/Treasurer Lydia Rowe.</w:t>
      </w:r>
    </w:p>
    <w:p w:rsidR="00800128" w:rsidRPr="006805F3" w:rsidRDefault="00800128" w:rsidP="00800128">
      <w:pPr>
        <w:pStyle w:val="Motion"/>
        <w:rPr>
          <w:rFonts w:ascii="Times New Roman" w:hAnsi="Times New Roman" w:cs="Times New Roman"/>
          <w:szCs w:val="22"/>
        </w:rPr>
      </w:pPr>
    </w:p>
    <w:p w:rsidR="00800128" w:rsidRPr="006805F3" w:rsidRDefault="00800128" w:rsidP="00800128">
      <w:pPr>
        <w:rPr>
          <w:sz w:val="22"/>
          <w:szCs w:val="22"/>
        </w:rPr>
      </w:pPr>
      <w:r w:rsidRPr="006805F3">
        <w:rPr>
          <w:sz w:val="22"/>
          <w:szCs w:val="22"/>
        </w:rPr>
        <w:t xml:space="preserve">The minutes of the regular monthly meeting on January </w:t>
      </w:r>
      <w:proofErr w:type="gramStart"/>
      <w:r w:rsidRPr="006805F3">
        <w:rPr>
          <w:sz w:val="22"/>
          <w:szCs w:val="22"/>
        </w:rPr>
        <w:t>5</w:t>
      </w:r>
      <w:r w:rsidRPr="006805F3">
        <w:rPr>
          <w:sz w:val="22"/>
          <w:szCs w:val="22"/>
          <w:vertAlign w:val="superscript"/>
        </w:rPr>
        <w:t>th</w:t>
      </w:r>
      <w:r w:rsidRPr="006805F3">
        <w:rPr>
          <w:sz w:val="22"/>
          <w:szCs w:val="22"/>
        </w:rPr>
        <w:t xml:space="preserve"> ,</w:t>
      </w:r>
      <w:proofErr w:type="gramEnd"/>
      <w:r w:rsidRPr="006805F3">
        <w:rPr>
          <w:sz w:val="22"/>
          <w:szCs w:val="22"/>
        </w:rPr>
        <w:t xml:space="preserve"> 2018 were read and approved unanimously by council without amendment.</w:t>
      </w:r>
    </w:p>
    <w:p w:rsidR="00800128" w:rsidRPr="006805F3" w:rsidRDefault="00800128" w:rsidP="00800128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6805F3">
        <w:rPr>
          <w:rFonts w:ascii="Times New Roman" w:hAnsi="Times New Roman" w:cs="Times New Roman"/>
          <w:sz w:val="22"/>
          <w:szCs w:val="22"/>
        </w:rPr>
        <w:t>Old Business</w:t>
      </w:r>
    </w:p>
    <w:p w:rsidR="00392863" w:rsidRPr="006805F3" w:rsidRDefault="00E00064" w:rsidP="0011103D">
      <w:pPr>
        <w:rPr>
          <w:sz w:val="22"/>
          <w:szCs w:val="22"/>
        </w:rPr>
      </w:pPr>
      <w:r w:rsidRPr="006805F3">
        <w:rPr>
          <w:sz w:val="22"/>
          <w:szCs w:val="22"/>
        </w:rPr>
        <w:t xml:space="preserve">Council members discussed the workman’s compensation that is being paid for </w:t>
      </w:r>
      <w:proofErr w:type="spellStart"/>
      <w:r w:rsidRPr="006805F3">
        <w:rPr>
          <w:sz w:val="22"/>
          <w:szCs w:val="22"/>
        </w:rPr>
        <w:t>Bodie</w:t>
      </w:r>
      <w:proofErr w:type="spellEnd"/>
      <w:r w:rsidRPr="006805F3">
        <w:rPr>
          <w:sz w:val="22"/>
          <w:szCs w:val="22"/>
        </w:rPr>
        <w:t xml:space="preserve"> snow removal. The municipality </w:t>
      </w:r>
      <w:r w:rsidR="00934E4D" w:rsidRPr="006805F3">
        <w:rPr>
          <w:sz w:val="22"/>
          <w:szCs w:val="22"/>
        </w:rPr>
        <w:t xml:space="preserve">would need to show that </w:t>
      </w:r>
      <w:proofErr w:type="spellStart"/>
      <w:r w:rsidR="00934E4D" w:rsidRPr="006805F3">
        <w:rPr>
          <w:sz w:val="22"/>
          <w:szCs w:val="22"/>
        </w:rPr>
        <w:t>Bodie</w:t>
      </w:r>
      <w:proofErr w:type="spellEnd"/>
      <w:r w:rsidR="00934E4D" w:rsidRPr="006805F3">
        <w:rPr>
          <w:sz w:val="22"/>
          <w:szCs w:val="22"/>
        </w:rPr>
        <w:t xml:space="preserve"> snow removal is not employed by the borough but is a subcontractor to the borough. As a subcontract</w:t>
      </w:r>
      <w:r w:rsidR="006805F3">
        <w:rPr>
          <w:sz w:val="22"/>
          <w:szCs w:val="22"/>
        </w:rPr>
        <w:t xml:space="preserve">or he should be liable to be </w:t>
      </w:r>
      <w:r w:rsidR="00934E4D" w:rsidRPr="006805F3">
        <w:rPr>
          <w:sz w:val="22"/>
          <w:szCs w:val="22"/>
        </w:rPr>
        <w:t xml:space="preserve">carrying his own workers compensation. DGK insurance will be contacted with this information to see if any changes can be made. </w:t>
      </w:r>
    </w:p>
    <w:p w:rsidR="00800128" w:rsidRPr="006805F3" w:rsidRDefault="00800128" w:rsidP="00800128">
      <w:pPr>
        <w:rPr>
          <w:sz w:val="22"/>
          <w:szCs w:val="22"/>
        </w:rPr>
      </w:pPr>
      <w:bookmarkStart w:id="0" w:name="_GoBack"/>
      <w:bookmarkEnd w:id="0"/>
    </w:p>
    <w:p w:rsidR="00800128" w:rsidRPr="006805F3" w:rsidRDefault="00800128" w:rsidP="00800128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6805F3">
        <w:rPr>
          <w:rFonts w:ascii="Times New Roman" w:hAnsi="Times New Roman" w:cs="Times New Roman"/>
          <w:sz w:val="22"/>
          <w:szCs w:val="22"/>
        </w:rPr>
        <w:t>New Business</w:t>
      </w:r>
    </w:p>
    <w:p w:rsidR="00392863" w:rsidRPr="006805F3" w:rsidRDefault="00392863" w:rsidP="00392863">
      <w:pPr>
        <w:rPr>
          <w:sz w:val="22"/>
          <w:szCs w:val="22"/>
        </w:rPr>
      </w:pPr>
    </w:p>
    <w:p w:rsidR="00392863" w:rsidRPr="006805F3" w:rsidRDefault="00392863" w:rsidP="00392863">
      <w:pPr>
        <w:rPr>
          <w:b/>
          <w:sz w:val="22"/>
          <w:szCs w:val="22"/>
        </w:rPr>
      </w:pPr>
      <w:r w:rsidRPr="006805F3">
        <w:rPr>
          <w:b/>
          <w:sz w:val="22"/>
          <w:szCs w:val="22"/>
        </w:rPr>
        <w:t xml:space="preserve">Robert </w:t>
      </w:r>
      <w:proofErr w:type="spellStart"/>
      <w:r w:rsidRPr="006805F3">
        <w:rPr>
          <w:b/>
          <w:sz w:val="22"/>
          <w:szCs w:val="22"/>
        </w:rPr>
        <w:t>Mikulewicz</w:t>
      </w:r>
      <w:proofErr w:type="spellEnd"/>
      <w:r w:rsidRPr="006805F3">
        <w:rPr>
          <w:b/>
          <w:sz w:val="22"/>
          <w:szCs w:val="22"/>
        </w:rPr>
        <w:t xml:space="preserve"> moved to allow Michael Wolfe to use the Borough’s Employer Identification Number (EIN). Gene </w:t>
      </w:r>
      <w:proofErr w:type="spellStart"/>
      <w:r w:rsidRPr="006805F3">
        <w:rPr>
          <w:b/>
          <w:sz w:val="22"/>
          <w:szCs w:val="22"/>
        </w:rPr>
        <w:t>Mohrmann</w:t>
      </w:r>
      <w:proofErr w:type="spellEnd"/>
      <w:r w:rsidRPr="006805F3">
        <w:rPr>
          <w:b/>
          <w:sz w:val="22"/>
          <w:szCs w:val="22"/>
        </w:rPr>
        <w:t xml:space="preserve"> seconded the motion which carried unanimously. </w:t>
      </w:r>
    </w:p>
    <w:p w:rsidR="009C7E3C" w:rsidRPr="006805F3" w:rsidRDefault="009C7E3C" w:rsidP="00392863">
      <w:pPr>
        <w:rPr>
          <w:b/>
          <w:sz w:val="22"/>
          <w:szCs w:val="22"/>
        </w:rPr>
      </w:pPr>
    </w:p>
    <w:p w:rsidR="009C7E3C" w:rsidRPr="006805F3" w:rsidRDefault="009C7E3C" w:rsidP="009C7E3C">
      <w:pPr>
        <w:rPr>
          <w:b/>
          <w:sz w:val="22"/>
          <w:szCs w:val="22"/>
        </w:rPr>
      </w:pPr>
    </w:p>
    <w:p w:rsidR="009C7E3C" w:rsidRPr="006805F3" w:rsidRDefault="009C7E3C" w:rsidP="009C7E3C">
      <w:pPr>
        <w:rPr>
          <w:sz w:val="22"/>
          <w:szCs w:val="22"/>
        </w:rPr>
      </w:pPr>
      <w:r w:rsidRPr="006805F3">
        <w:rPr>
          <w:sz w:val="22"/>
          <w:szCs w:val="22"/>
        </w:rPr>
        <w:t xml:space="preserve">Dale Odell spoke with a FEMA representative, they stated that they advertised the flood plan, everything is moving forward. They will be in touch with the borough in the future. </w:t>
      </w:r>
    </w:p>
    <w:p w:rsidR="009C7E3C" w:rsidRPr="006805F3" w:rsidRDefault="009C7E3C" w:rsidP="009C7E3C">
      <w:pPr>
        <w:rPr>
          <w:sz w:val="22"/>
          <w:szCs w:val="22"/>
        </w:rPr>
      </w:pPr>
    </w:p>
    <w:p w:rsidR="009C7E3C" w:rsidRPr="006805F3" w:rsidRDefault="009C7E3C" w:rsidP="009C7E3C">
      <w:pPr>
        <w:rPr>
          <w:sz w:val="22"/>
          <w:szCs w:val="22"/>
        </w:rPr>
      </w:pPr>
      <w:r w:rsidRPr="006805F3">
        <w:rPr>
          <w:sz w:val="22"/>
          <w:szCs w:val="22"/>
        </w:rPr>
        <w:t xml:space="preserve">Jerry </w:t>
      </w:r>
      <w:proofErr w:type="spellStart"/>
      <w:r w:rsidRPr="006805F3">
        <w:rPr>
          <w:sz w:val="22"/>
          <w:szCs w:val="22"/>
        </w:rPr>
        <w:t>Korb</w:t>
      </w:r>
      <w:proofErr w:type="spellEnd"/>
      <w:r w:rsidRPr="006805F3">
        <w:rPr>
          <w:sz w:val="22"/>
          <w:szCs w:val="22"/>
        </w:rPr>
        <w:t xml:space="preserve"> moved forward with the surveying, a preliminary map was complete, next month the map will be able to be viewed. </w:t>
      </w:r>
    </w:p>
    <w:p w:rsidR="009C7E3C" w:rsidRPr="006805F3" w:rsidRDefault="009C7E3C" w:rsidP="009C7E3C">
      <w:pPr>
        <w:rPr>
          <w:sz w:val="22"/>
          <w:szCs w:val="22"/>
        </w:rPr>
      </w:pPr>
    </w:p>
    <w:p w:rsidR="009C7E3C" w:rsidRPr="006805F3" w:rsidRDefault="009C7E3C" w:rsidP="009C7E3C">
      <w:pPr>
        <w:rPr>
          <w:sz w:val="22"/>
          <w:szCs w:val="22"/>
        </w:rPr>
      </w:pPr>
      <w:r w:rsidRPr="006805F3">
        <w:rPr>
          <w:sz w:val="22"/>
          <w:szCs w:val="22"/>
        </w:rPr>
        <w:t>The new siren for the fire company may need to be placed on the borough’s property when</w:t>
      </w:r>
      <w:r w:rsidR="005473F1" w:rsidRPr="006805F3">
        <w:rPr>
          <w:sz w:val="22"/>
          <w:szCs w:val="22"/>
        </w:rPr>
        <w:t xml:space="preserve"> it is reinstalled. Council will discuss further if need be. </w:t>
      </w:r>
    </w:p>
    <w:p w:rsidR="00392863" w:rsidRPr="006805F3" w:rsidRDefault="00392863" w:rsidP="00392863">
      <w:pPr>
        <w:rPr>
          <w:b/>
          <w:sz w:val="22"/>
          <w:szCs w:val="22"/>
        </w:rPr>
      </w:pPr>
    </w:p>
    <w:p w:rsidR="00800128" w:rsidRPr="006805F3" w:rsidRDefault="00800128" w:rsidP="00800128">
      <w:pPr>
        <w:rPr>
          <w:sz w:val="22"/>
          <w:szCs w:val="22"/>
        </w:rPr>
      </w:pPr>
      <w:r w:rsidRPr="006805F3">
        <w:rPr>
          <w:sz w:val="22"/>
          <w:szCs w:val="22"/>
        </w:rPr>
        <w:t xml:space="preserve">A motion was made to add Secretary/ Treasurer Lydia Rowe on as an authorized singer on the </w:t>
      </w:r>
      <w:proofErr w:type="spellStart"/>
      <w:r w:rsidRPr="006805F3">
        <w:rPr>
          <w:sz w:val="22"/>
          <w:szCs w:val="22"/>
        </w:rPr>
        <w:t>Prompton</w:t>
      </w:r>
      <w:proofErr w:type="spellEnd"/>
      <w:r w:rsidRPr="006805F3">
        <w:rPr>
          <w:sz w:val="22"/>
          <w:szCs w:val="22"/>
        </w:rPr>
        <w:t xml:space="preserve"> Borough account</w:t>
      </w:r>
      <w:r w:rsidR="0011103D" w:rsidRPr="006805F3">
        <w:rPr>
          <w:sz w:val="22"/>
          <w:szCs w:val="22"/>
        </w:rPr>
        <w:t>s</w:t>
      </w:r>
      <w:r w:rsidRPr="006805F3">
        <w:rPr>
          <w:sz w:val="22"/>
          <w:szCs w:val="22"/>
        </w:rPr>
        <w:t>. Dan</w:t>
      </w:r>
      <w:r w:rsidR="00392863" w:rsidRPr="006805F3">
        <w:rPr>
          <w:sz w:val="22"/>
          <w:szCs w:val="22"/>
        </w:rPr>
        <w:t>iel</w:t>
      </w:r>
      <w:r w:rsidRPr="006805F3">
        <w:rPr>
          <w:sz w:val="22"/>
          <w:szCs w:val="22"/>
        </w:rPr>
        <w:t xml:space="preserve"> </w:t>
      </w:r>
      <w:proofErr w:type="spellStart"/>
      <w:r w:rsidRPr="006805F3">
        <w:rPr>
          <w:sz w:val="22"/>
          <w:szCs w:val="22"/>
        </w:rPr>
        <w:t>Biando</w:t>
      </w:r>
      <w:proofErr w:type="spellEnd"/>
      <w:r w:rsidR="0011103D" w:rsidRPr="006805F3">
        <w:rPr>
          <w:sz w:val="22"/>
          <w:szCs w:val="22"/>
        </w:rPr>
        <w:t xml:space="preserve"> will be removed as an authorized signer. Robert </w:t>
      </w:r>
      <w:proofErr w:type="spellStart"/>
      <w:r w:rsidR="0011103D" w:rsidRPr="006805F3">
        <w:rPr>
          <w:sz w:val="22"/>
          <w:szCs w:val="22"/>
        </w:rPr>
        <w:t>Mikulewicz</w:t>
      </w:r>
      <w:proofErr w:type="spellEnd"/>
      <w:r w:rsidR="0011103D" w:rsidRPr="006805F3">
        <w:rPr>
          <w:sz w:val="22"/>
          <w:szCs w:val="22"/>
        </w:rPr>
        <w:t xml:space="preserve"> and Dale Odell will remain on the account as authorized signers. </w:t>
      </w:r>
    </w:p>
    <w:p w:rsidR="0011103D" w:rsidRPr="006805F3" w:rsidRDefault="0011103D" w:rsidP="00800128">
      <w:pPr>
        <w:rPr>
          <w:b/>
          <w:sz w:val="22"/>
          <w:szCs w:val="22"/>
        </w:rPr>
      </w:pPr>
      <w:r w:rsidRPr="006805F3">
        <w:rPr>
          <w:b/>
          <w:sz w:val="22"/>
          <w:szCs w:val="22"/>
        </w:rPr>
        <w:t xml:space="preserve">Kirk Fries moved to authorize signers on all accounts. Dale Odell seconded the motion which carried unanimously. </w:t>
      </w:r>
    </w:p>
    <w:p w:rsidR="009C7E3C" w:rsidRPr="006805F3" w:rsidRDefault="009C7E3C" w:rsidP="00800128">
      <w:pPr>
        <w:rPr>
          <w:sz w:val="22"/>
          <w:szCs w:val="22"/>
        </w:rPr>
      </w:pPr>
    </w:p>
    <w:p w:rsidR="00800128" w:rsidRPr="006805F3" w:rsidRDefault="00800128" w:rsidP="00800128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6805F3">
        <w:rPr>
          <w:rFonts w:ascii="Times New Roman" w:hAnsi="Times New Roman" w:cs="Times New Roman"/>
          <w:sz w:val="22"/>
          <w:szCs w:val="22"/>
        </w:rPr>
        <w:t>Accounts Payable</w:t>
      </w:r>
    </w:p>
    <w:p w:rsidR="00800128" w:rsidRPr="006805F3" w:rsidRDefault="00800128" w:rsidP="00800128">
      <w:pPr>
        <w:rPr>
          <w:sz w:val="22"/>
          <w:szCs w:val="22"/>
        </w:rPr>
      </w:pPr>
      <w:r w:rsidRPr="006805F3">
        <w:rPr>
          <w:rStyle w:val="MotionChar"/>
          <w:sz w:val="22"/>
          <w:szCs w:val="22"/>
        </w:rPr>
        <w:t xml:space="preserve">Gene </w:t>
      </w:r>
      <w:proofErr w:type="spellStart"/>
      <w:r w:rsidRPr="006805F3">
        <w:rPr>
          <w:rStyle w:val="MotionChar"/>
          <w:sz w:val="22"/>
          <w:szCs w:val="22"/>
        </w:rPr>
        <w:t>Mohrmann</w:t>
      </w:r>
      <w:proofErr w:type="spellEnd"/>
      <w:r w:rsidRPr="006805F3">
        <w:rPr>
          <w:rStyle w:val="MotionChar"/>
          <w:sz w:val="22"/>
          <w:szCs w:val="22"/>
        </w:rPr>
        <w:t xml:space="preserve"> moved to approve all bills for payment.  Kirk Fries seconded the motion which carried unanimously.  </w:t>
      </w:r>
      <w:r w:rsidRPr="006805F3">
        <w:rPr>
          <w:sz w:val="22"/>
          <w:szCs w:val="22"/>
        </w:rPr>
        <w:t xml:space="preserve">The accounts payable approved for payment are detailed in the Treasurer’s Report on the reverse side of this page.  </w:t>
      </w:r>
    </w:p>
    <w:p w:rsidR="00800128" w:rsidRPr="006805F3" w:rsidRDefault="00800128" w:rsidP="00800128">
      <w:pPr>
        <w:rPr>
          <w:sz w:val="22"/>
          <w:szCs w:val="22"/>
        </w:rPr>
      </w:pPr>
    </w:p>
    <w:p w:rsidR="00800128" w:rsidRPr="006805F3" w:rsidRDefault="00800128" w:rsidP="00800128">
      <w:pPr>
        <w:rPr>
          <w:sz w:val="22"/>
          <w:szCs w:val="22"/>
        </w:rPr>
      </w:pPr>
      <w:r w:rsidRPr="006805F3">
        <w:rPr>
          <w:sz w:val="22"/>
          <w:szCs w:val="22"/>
        </w:rPr>
        <w:t>Meeting adjourned.  Lydia Rowe, Secretary</w:t>
      </w:r>
    </w:p>
    <w:p w:rsidR="008F49B9" w:rsidRPr="006805F3" w:rsidRDefault="008F49B9">
      <w:pPr>
        <w:rPr>
          <w:sz w:val="22"/>
          <w:szCs w:val="22"/>
        </w:rPr>
      </w:pPr>
    </w:p>
    <w:p w:rsidR="00A36F10" w:rsidRPr="006805F3" w:rsidRDefault="00A36F10">
      <w:pPr>
        <w:rPr>
          <w:sz w:val="22"/>
          <w:szCs w:val="22"/>
        </w:rPr>
      </w:pPr>
    </w:p>
    <w:p w:rsidR="00A36F10" w:rsidRPr="006805F3" w:rsidRDefault="00A36F10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71"/>
        <w:tblW w:w="10682" w:type="dxa"/>
        <w:tblLook w:val="04A0" w:firstRow="1" w:lastRow="0" w:firstColumn="1" w:lastColumn="0" w:noHBand="0" w:noVBand="1"/>
      </w:tblPr>
      <w:tblGrid>
        <w:gridCol w:w="6726"/>
        <w:gridCol w:w="1807"/>
        <w:gridCol w:w="2149"/>
      </w:tblGrid>
      <w:tr w:rsidR="00A36F10" w:rsidRPr="006805F3" w:rsidTr="006C5D1E">
        <w:trPr>
          <w:trHeight w:val="444"/>
        </w:trPr>
        <w:tc>
          <w:tcPr>
            <w:tcW w:w="1068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6C5D1E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proofErr w:type="spellStart"/>
            <w:r w:rsidRPr="006805F3">
              <w:rPr>
                <w:b/>
                <w:bCs/>
                <w:i/>
                <w:iCs/>
                <w:sz w:val="36"/>
                <w:szCs w:val="36"/>
              </w:rPr>
              <w:lastRenderedPageBreak/>
              <w:t>Febuary</w:t>
            </w:r>
            <w:proofErr w:type="spellEnd"/>
            <w:r w:rsidRPr="006805F3">
              <w:rPr>
                <w:b/>
                <w:bCs/>
                <w:i/>
                <w:iCs/>
                <w:sz w:val="36"/>
                <w:szCs w:val="36"/>
              </w:rPr>
              <w:t xml:space="preserve"> Treasurer's Report</w:t>
            </w:r>
          </w:p>
        </w:tc>
      </w:tr>
      <w:tr w:rsidR="00A36F10" w:rsidRPr="006805F3" w:rsidTr="006C5D1E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6F10" w:rsidRPr="006805F3" w:rsidRDefault="00A36F10" w:rsidP="006C5D1E">
            <w:pPr>
              <w:jc w:val="center"/>
              <w:rPr>
                <w:i/>
                <w:iCs/>
                <w:sz w:val="24"/>
              </w:rPr>
            </w:pPr>
            <w:r w:rsidRPr="006805F3">
              <w:rPr>
                <w:i/>
                <w:iCs/>
                <w:sz w:val="24"/>
              </w:rPr>
              <w:t>Description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6F10" w:rsidRPr="006805F3" w:rsidRDefault="00A36F10" w:rsidP="006C5D1E">
            <w:pPr>
              <w:jc w:val="center"/>
              <w:rPr>
                <w:i/>
                <w:iCs/>
                <w:sz w:val="24"/>
              </w:rPr>
            </w:pPr>
            <w:r w:rsidRPr="006805F3">
              <w:rPr>
                <w:i/>
                <w:iCs/>
                <w:sz w:val="24"/>
              </w:rPr>
              <w:t xml:space="preserve"> Amount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36F10" w:rsidRPr="006805F3" w:rsidRDefault="00A36F10" w:rsidP="006C5D1E">
            <w:pPr>
              <w:jc w:val="center"/>
              <w:rPr>
                <w:i/>
                <w:iCs/>
                <w:sz w:val="24"/>
              </w:rPr>
            </w:pPr>
            <w:r w:rsidRPr="006805F3">
              <w:rPr>
                <w:i/>
                <w:iCs/>
                <w:sz w:val="24"/>
              </w:rPr>
              <w:t xml:space="preserve"> Balance </w:t>
            </w:r>
          </w:p>
        </w:tc>
      </w:tr>
      <w:tr w:rsidR="00A36F10" w:rsidRPr="006805F3" w:rsidTr="006C5D1E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6C5D1E">
            <w:pPr>
              <w:rPr>
                <w:sz w:val="24"/>
              </w:rPr>
            </w:pPr>
            <w:r w:rsidRPr="006805F3">
              <w:rPr>
                <w:sz w:val="24"/>
              </w:rPr>
              <w:t>General Checking Beginning Balance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6C5D1E">
            <w:pPr>
              <w:rPr>
                <w:sz w:val="24"/>
              </w:rPr>
            </w:pPr>
            <w:r w:rsidRPr="006805F3">
              <w:rPr>
                <w:sz w:val="24"/>
              </w:rPr>
              <w:t> 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A36F10">
            <w:pPr>
              <w:rPr>
                <w:sz w:val="24"/>
              </w:rPr>
            </w:pPr>
            <w:r w:rsidRPr="006805F3">
              <w:rPr>
                <w:sz w:val="24"/>
              </w:rPr>
              <w:t xml:space="preserve"> $             23,234.31 </w:t>
            </w:r>
          </w:p>
        </w:tc>
      </w:tr>
      <w:tr w:rsidR="00A36F10" w:rsidRPr="006805F3" w:rsidTr="006C5D1E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6C5D1E">
            <w:pPr>
              <w:jc w:val="right"/>
              <w:rPr>
                <w:sz w:val="24"/>
              </w:rPr>
            </w:pPr>
            <w:r w:rsidRPr="006805F3">
              <w:rPr>
                <w:sz w:val="24"/>
              </w:rPr>
              <w:t>Road Project Set-aside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6C5D1E">
            <w:pPr>
              <w:rPr>
                <w:sz w:val="24"/>
              </w:rPr>
            </w:pPr>
            <w:r w:rsidRPr="006805F3">
              <w:rPr>
                <w:sz w:val="24"/>
              </w:rPr>
              <w:t xml:space="preserve"> $      (6,000.00)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A36F10">
            <w:pPr>
              <w:rPr>
                <w:sz w:val="24"/>
              </w:rPr>
            </w:pPr>
            <w:r w:rsidRPr="006805F3">
              <w:rPr>
                <w:sz w:val="24"/>
              </w:rPr>
              <w:t xml:space="preserve"> $             17,234.31</w:t>
            </w:r>
          </w:p>
        </w:tc>
      </w:tr>
      <w:tr w:rsidR="00A36F10" w:rsidRPr="006805F3" w:rsidTr="006C5D1E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6C5D1E">
            <w:pPr>
              <w:jc w:val="right"/>
              <w:rPr>
                <w:sz w:val="24"/>
              </w:rPr>
            </w:pPr>
            <w:r w:rsidRPr="006805F3">
              <w:rPr>
                <w:sz w:val="24"/>
              </w:rPr>
              <w:t xml:space="preserve">Chase </w:t>
            </w:r>
            <w:proofErr w:type="spellStart"/>
            <w:r w:rsidRPr="006805F3">
              <w:rPr>
                <w:sz w:val="24"/>
              </w:rPr>
              <w:t>Holl</w:t>
            </w:r>
            <w:proofErr w:type="spellEnd"/>
            <w:r w:rsidRPr="006805F3">
              <w:rPr>
                <w:sz w:val="24"/>
              </w:rPr>
              <w:t>-Tax Income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6C5D1E">
            <w:pPr>
              <w:rPr>
                <w:sz w:val="24"/>
              </w:rPr>
            </w:pPr>
            <w:r w:rsidRPr="006805F3">
              <w:rPr>
                <w:sz w:val="24"/>
              </w:rPr>
              <w:t xml:space="preserve"> $ </w:t>
            </w:r>
            <w:r w:rsidR="00292162" w:rsidRPr="006805F3">
              <w:rPr>
                <w:sz w:val="24"/>
              </w:rPr>
              <w:t xml:space="preserve">           126.60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292162" w:rsidP="006C5D1E">
            <w:pPr>
              <w:rPr>
                <w:sz w:val="24"/>
              </w:rPr>
            </w:pPr>
            <w:r w:rsidRPr="006805F3">
              <w:rPr>
                <w:sz w:val="24"/>
              </w:rPr>
              <w:t xml:space="preserve"> $             17,360.91</w:t>
            </w:r>
          </w:p>
        </w:tc>
      </w:tr>
      <w:tr w:rsidR="00A36F10" w:rsidRPr="006805F3" w:rsidTr="006C5D1E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292162" w:rsidP="006C5D1E">
            <w:pPr>
              <w:jc w:val="right"/>
              <w:rPr>
                <w:sz w:val="24"/>
              </w:rPr>
            </w:pPr>
            <w:r w:rsidRPr="006805F3">
              <w:rPr>
                <w:sz w:val="24"/>
              </w:rPr>
              <w:t>Tax Claim</w:t>
            </w:r>
            <w:r w:rsidR="00A36F10" w:rsidRPr="006805F3">
              <w:rPr>
                <w:sz w:val="24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6C5D1E">
            <w:pPr>
              <w:rPr>
                <w:sz w:val="24"/>
              </w:rPr>
            </w:pPr>
            <w:r w:rsidRPr="006805F3">
              <w:rPr>
                <w:sz w:val="24"/>
              </w:rPr>
              <w:t> </w:t>
            </w:r>
            <w:r w:rsidR="00292162" w:rsidRPr="006805F3">
              <w:rPr>
                <w:sz w:val="24"/>
              </w:rPr>
              <w:t>$                7.98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730797" w:rsidP="006C5D1E">
            <w:pPr>
              <w:rPr>
                <w:sz w:val="24"/>
              </w:rPr>
            </w:pPr>
            <w:r w:rsidRPr="006805F3">
              <w:rPr>
                <w:sz w:val="24"/>
              </w:rPr>
              <w:t xml:space="preserve"> $             17,352.93</w:t>
            </w:r>
          </w:p>
        </w:tc>
      </w:tr>
      <w:tr w:rsidR="00A36F10" w:rsidRPr="006805F3" w:rsidTr="006C5D1E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6C5D1E">
            <w:pPr>
              <w:jc w:val="right"/>
              <w:rPr>
                <w:sz w:val="24"/>
              </w:rPr>
            </w:pPr>
            <w:r w:rsidRPr="006805F3">
              <w:rPr>
                <w:sz w:val="24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6C5D1E">
            <w:pPr>
              <w:rPr>
                <w:sz w:val="24"/>
              </w:rPr>
            </w:pPr>
            <w:r w:rsidRPr="006805F3">
              <w:rPr>
                <w:sz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6C5D1E">
            <w:pPr>
              <w:rPr>
                <w:sz w:val="24"/>
              </w:rPr>
            </w:pPr>
            <w:r w:rsidRPr="006805F3">
              <w:rPr>
                <w:sz w:val="24"/>
              </w:rPr>
              <w:t xml:space="preserve">  </w:t>
            </w:r>
          </w:p>
        </w:tc>
      </w:tr>
      <w:tr w:rsidR="00A36F10" w:rsidRPr="006805F3" w:rsidTr="006C5D1E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6C5D1E">
            <w:pPr>
              <w:jc w:val="right"/>
              <w:rPr>
                <w:sz w:val="24"/>
              </w:rPr>
            </w:pPr>
            <w:r w:rsidRPr="006805F3">
              <w:rPr>
                <w:sz w:val="24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6C5D1E">
            <w:pPr>
              <w:rPr>
                <w:sz w:val="24"/>
              </w:rPr>
            </w:pPr>
            <w:r w:rsidRPr="006805F3">
              <w:rPr>
                <w:sz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6C5D1E">
            <w:pPr>
              <w:rPr>
                <w:sz w:val="24"/>
              </w:rPr>
            </w:pPr>
            <w:r w:rsidRPr="006805F3">
              <w:rPr>
                <w:sz w:val="24"/>
              </w:rPr>
              <w:t xml:space="preserve">  </w:t>
            </w:r>
          </w:p>
        </w:tc>
      </w:tr>
      <w:tr w:rsidR="00A36F10" w:rsidRPr="006805F3" w:rsidTr="006C5D1E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6C5D1E">
            <w:pPr>
              <w:jc w:val="right"/>
              <w:rPr>
                <w:sz w:val="24"/>
              </w:rPr>
            </w:pPr>
            <w:r w:rsidRPr="006805F3">
              <w:rPr>
                <w:sz w:val="24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6C5D1E">
            <w:pPr>
              <w:rPr>
                <w:sz w:val="24"/>
              </w:rPr>
            </w:pPr>
            <w:r w:rsidRPr="006805F3">
              <w:rPr>
                <w:sz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6C5D1E">
            <w:pPr>
              <w:rPr>
                <w:sz w:val="24"/>
              </w:rPr>
            </w:pPr>
            <w:r w:rsidRPr="006805F3">
              <w:rPr>
                <w:sz w:val="24"/>
              </w:rPr>
              <w:t xml:space="preserve">  </w:t>
            </w:r>
          </w:p>
        </w:tc>
      </w:tr>
      <w:tr w:rsidR="00A36F10" w:rsidRPr="006805F3" w:rsidTr="006C5D1E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6C5D1E">
            <w:pPr>
              <w:jc w:val="right"/>
              <w:rPr>
                <w:sz w:val="24"/>
              </w:rPr>
            </w:pPr>
            <w:r w:rsidRPr="006805F3">
              <w:rPr>
                <w:sz w:val="24"/>
              </w:rPr>
              <w:t>Road Project Set-aside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6C5D1E">
            <w:pPr>
              <w:rPr>
                <w:sz w:val="24"/>
              </w:rPr>
            </w:pPr>
            <w:r w:rsidRPr="006805F3">
              <w:rPr>
                <w:sz w:val="24"/>
              </w:rPr>
              <w:t xml:space="preserve"> $         6,000.00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730797">
            <w:pPr>
              <w:rPr>
                <w:sz w:val="24"/>
              </w:rPr>
            </w:pPr>
            <w:r w:rsidRPr="006805F3">
              <w:rPr>
                <w:sz w:val="24"/>
              </w:rPr>
              <w:t xml:space="preserve"> $             </w:t>
            </w:r>
            <w:r w:rsidR="00730797" w:rsidRPr="006805F3">
              <w:rPr>
                <w:sz w:val="24"/>
              </w:rPr>
              <w:t>23,352.93</w:t>
            </w:r>
          </w:p>
        </w:tc>
      </w:tr>
      <w:tr w:rsidR="00A36F10" w:rsidRPr="006805F3" w:rsidTr="006C5D1E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6C5D1E">
            <w:pPr>
              <w:rPr>
                <w:b/>
                <w:bCs/>
                <w:sz w:val="24"/>
              </w:rPr>
            </w:pPr>
            <w:r w:rsidRPr="006805F3">
              <w:rPr>
                <w:b/>
                <w:bCs/>
                <w:sz w:val="24"/>
              </w:rPr>
              <w:t>General Checking Ending Balance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6C5D1E">
            <w:pPr>
              <w:rPr>
                <w:b/>
                <w:bCs/>
                <w:sz w:val="24"/>
              </w:rPr>
            </w:pPr>
            <w:r w:rsidRPr="006805F3">
              <w:rPr>
                <w:b/>
                <w:bCs/>
                <w:sz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730797">
            <w:pPr>
              <w:rPr>
                <w:b/>
                <w:bCs/>
                <w:sz w:val="24"/>
              </w:rPr>
            </w:pPr>
            <w:bookmarkStart w:id="1" w:name="RANGE!C16"/>
            <w:r w:rsidRPr="006805F3">
              <w:rPr>
                <w:b/>
                <w:bCs/>
                <w:sz w:val="24"/>
              </w:rPr>
              <w:t xml:space="preserve"> $             </w:t>
            </w:r>
            <w:bookmarkEnd w:id="1"/>
            <w:r w:rsidR="00730797" w:rsidRPr="006805F3">
              <w:rPr>
                <w:b/>
                <w:bCs/>
                <w:sz w:val="24"/>
              </w:rPr>
              <w:t>23,352.93</w:t>
            </w:r>
          </w:p>
        </w:tc>
      </w:tr>
      <w:tr w:rsidR="00A36F10" w:rsidRPr="006805F3" w:rsidTr="006C5D1E">
        <w:trPr>
          <w:trHeight w:val="180"/>
        </w:trPr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6C5D1E">
            <w:pPr>
              <w:jc w:val="right"/>
              <w:rPr>
                <w:sz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6C5D1E">
            <w:pPr>
              <w:rPr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6C5D1E">
            <w:pPr>
              <w:rPr>
                <w:sz w:val="24"/>
              </w:rPr>
            </w:pPr>
            <w:r w:rsidRPr="006805F3">
              <w:rPr>
                <w:sz w:val="24"/>
              </w:rPr>
              <w:t> </w:t>
            </w:r>
          </w:p>
        </w:tc>
      </w:tr>
      <w:tr w:rsidR="00A36F10" w:rsidRPr="006805F3" w:rsidTr="006C5D1E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6C5D1E">
            <w:pPr>
              <w:rPr>
                <w:sz w:val="24"/>
              </w:rPr>
            </w:pPr>
            <w:r w:rsidRPr="006805F3">
              <w:rPr>
                <w:sz w:val="24"/>
              </w:rPr>
              <w:t>Highway Checking Beginning Balance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6C5D1E">
            <w:pPr>
              <w:rPr>
                <w:sz w:val="24"/>
              </w:rPr>
            </w:pPr>
            <w:r w:rsidRPr="006805F3">
              <w:rPr>
                <w:sz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730797" w:rsidP="006C5D1E">
            <w:pPr>
              <w:rPr>
                <w:sz w:val="24"/>
              </w:rPr>
            </w:pPr>
            <w:r w:rsidRPr="006805F3">
              <w:rPr>
                <w:sz w:val="24"/>
              </w:rPr>
              <w:t xml:space="preserve"> $               8,900.18</w:t>
            </w:r>
            <w:r w:rsidR="00A36F10" w:rsidRPr="006805F3">
              <w:rPr>
                <w:sz w:val="24"/>
              </w:rPr>
              <w:t xml:space="preserve">             </w:t>
            </w:r>
          </w:p>
        </w:tc>
      </w:tr>
      <w:tr w:rsidR="00A36F10" w:rsidRPr="006805F3" w:rsidTr="006C5D1E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6C5D1E">
            <w:pPr>
              <w:jc w:val="right"/>
              <w:rPr>
                <w:sz w:val="24"/>
              </w:rPr>
            </w:pPr>
            <w:proofErr w:type="spellStart"/>
            <w:r w:rsidRPr="006805F3">
              <w:rPr>
                <w:sz w:val="24"/>
              </w:rPr>
              <w:t>Bodie</w:t>
            </w:r>
            <w:proofErr w:type="spellEnd"/>
            <w:r w:rsidRPr="006805F3">
              <w:rPr>
                <w:sz w:val="24"/>
              </w:rPr>
              <w:t xml:space="preserve"> Snow Removal (Plow and Cinder)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730797">
            <w:pPr>
              <w:rPr>
                <w:sz w:val="24"/>
              </w:rPr>
            </w:pPr>
            <w:r w:rsidRPr="006805F3">
              <w:rPr>
                <w:sz w:val="24"/>
              </w:rPr>
              <w:t xml:space="preserve"> $      </w:t>
            </w:r>
            <w:r w:rsidR="001F03DA" w:rsidRPr="006805F3">
              <w:rPr>
                <w:sz w:val="24"/>
              </w:rPr>
              <w:t xml:space="preserve">   (</w:t>
            </w:r>
            <w:r w:rsidR="00730797" w:rsidRPr="006805F3">
              <w:rPr>
                <w:sz w:val="24"/>
              </w:rPr>
              <w:t>882.00</w:t>
            </w:r>
            <w:r w:rsidR="001F03DA" w:rsidRPr="006805F3">
              <w:rPr>
                <w:sz w:val="24"/>
              </w:rPr>
              <w:t>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730797">
            <w:pPr>
              <w:rPr>
                <w:sz w:val="24"/>
              </w:rPr>
            </w:pPr>
            <w:r w:rsidRPr="006805F3">
              <w:rPr>
                <w:sz w:val="24"/>
              </w:rPr>
              <w:t xml:space="preserve"> $               </w:t>
            </w:r>
            <w:r w:rsidR="00730797" w:rsidRPr="006805F3">
              <w:rPr>
                <w:sz w:val="24"/>
              </w:rPr>
              <w:t>8,018.18</w:t>
            </w:r>
          </w:p>
        </w:tc>
      </w:tr>
      <w:tr w:rsidR="00A36F10" w:rsidRPr="006805F3" w:rsidTr="006C5D1E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6C5D1E">
            <w:pPr>
              <w:jc w:val="right"/>
              <w:rPr>
                <w:sz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6C5D1E">
            <w:pPr>
              <w:rPr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6C5D1E">
            <w:pPr>
              <w:rPr>
                <w:sz w:val="24"/>
              </w:rPr>
            </w:pPr>
            <w:r w:rsidRPr="006805F3">
              <w:rPr>
                <w:sz w:val="24"/>
              </w:rPr>
              <w:t xml:space="preserve">                 </w:t>
            </w:r>
          </w:p>
        </w:tc>
      </w:tr>
      <w:tr w:rsidR="00A36F10" w:rsidRPr="006805F3" w:rsidTr="006C5D1E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6C5D1E">
            <w:pPr>
              <w:jc w:val="right"/>
              <w:rPr>
                <w:sz w:val="24"/>
              </w:rPr>
            </w:pPr>
            <w:r w:rsidRPr="006805F3">
              <w:rPr>
                <w:sz w:val="24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6C5D1E">
            <w:pPr>
              <w:rPr>
                <w:sz w:val="24"/>
              </w:rPr>
            </w:pPr>
            <w:r w:rsidRPr="006805F3">
              <w:rPr>
                <w:sz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6C5D1E">
            <w:pPr>
              <w:rPr>
                <w:sz w:val="24"/>
              </w:rPr>
            </w:pPr>
            <w:r w:rsidRPr="006805F3">
              <w:rPr>
                <w:sz w:val="24"/>
              </w:rPr>
              <w:t xml:space="preserve">  </w:t>
            </w:r>
          </w:p>
        </w:tc>
      </w:tr>
      <w:tr w:rsidR="00A36F10" w:rsidRPr="006805F3" w:rsidTr="006C5D1E">
        <w:trPr>
          <w:trHeight w:val="345"/>
        </w:trPr>
        <w:tc>
          <w:tcPr>
            <w:tcW w:w="67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6C5D1E">
            <w:pPr>
              <w:rPr>
                <w:b/>
                <w:bCs/>
                <w:sz w:val="24"/>
              </w:rPr>
            </w:pPr>
            <w:r w:rsidRPr="006805F3">
              <w:rPr>
                <w:b/>
                <w:bCs/>
                <w:sz w:val="24"/>
              </w:rPr>
              <w:t>Highway Checking Ending Balance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6C5D1E">
            <w:pPr>
              <w:rPr>
                <w:b/>
                <w:bCs/>
                <w:sz w:val="24"/>
              </w:rPr>
            </w:pPr>
            <w:r w:rsidRPr="006805F3">
              <w:rPr>
                <w:b/>
                <w:bCs/>
                <w:sz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797" w:rsidRPr="006805F3" w:rsidRDefault="00A36F10" w:rsidP="00730797">
            <w:pPr>
              <w:rPr>
                <w:b/>
                <w:bCs/>
                <w:sz w:val="24"/>
              </w:rPr>
            </w:pPr>
            <w:bookmarkStart w:id="2" w:name="RANGE!C22"/>
            <w:r w:rsidRPr="006805F3">
              <w:rPr>
                <w:b/>
                <w:bCs/>
                <w:sz w:val="24"/>
              </w:rPr>
              <w:t xml:space="preserve"> $               </w:t>
            </w:r>
            <w:bookmarkEnd w:id="2"/>
            <w:r w:rsidR="00730797" w:rsidRPr="006805F3">
              <w:rPr>
                <w:b/>
                <w:bCs/>
                <w:sz w:val="24"/>
              </w:rPr>
              <w:t>8,018.18</w:t>
            </w:r>
          </w:p>
        </w:tc>
      </w:tr>
      <w:tr w:rsidR="00A36F10" w:rsidRPr="006805F3" w:rsidTr="006C5D1E">
        <w:trPr>
          <w:trHeight w:val="180"/>
        </w:trPr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6C5D1E">
            <w:pPr>
              <w:jc w:val="right"/>
              <w:rPr>
                <w:sz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6C5D1E">
            <w:pPr>
              <w:rPr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6C5D1E">
            <w:pPr>
              <w:rPr>
                <w:sz w:val="24"/>
              </w:rPr>
            </w:pPr>
            <w:r w:rsidRPr="006805F3">
              <w:rPr>
                <w:sz w:val="24"/>
              </w:rPr>
              <w:t> </w:t>
            </w:r>
          </w:p>
        </w:tc>
      </w:tr>
      <w:tr w:rsidR="00A36F10" w:rsidRPr="006805F3" w:rsidTr="006C5D1E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6C5D1E">
            <w:pPr>
              <w:rPr>
                <w:sz w:val="24"/>
              </w:rPr>
            </w:pPr>
            <w:r w:rsidRPr="006805F3">
              <w:rPr>
                <w:sz w:val="24"/>
              </w:rPr>
              <w:t>Highway Savings Beginning Balance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6C5D1E">
            <w:pPr>
              <w:rPr>
                <w:sz w:val="24"/>
              </w:rPr>
            </w:pPr>
            <w:r w:rsidRPr="006805F3">
              <w:rPr>
                <w:sz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730797">
            <w:pPr>
              <w:rPr>
                <w:sz w:val="24"/>
              </w:rPr>
            </w:pPr>
            <w:r w:rsidRPr="006805F3">
              <w:rPr>
                <w:sz w:val="24"/>
              </w:rPr>
              <w:t xml:space="preserve"> $               </w:t>
            </w:r>
            <w:r w:rsidR="00730797" w:rsidRPr="006805F3">
              <w:rPr>
                <w:sz w:val="24"/>
              </w:rPr>
              <w:t>7,920.56</w:t>
            </w:r>
            <w:r w:rsidRPr="006805F3">
              <w:rPr>
                <w:sz w:val="24"/>
              </w:rPr>
              <w:t xml:space="preserve">       </w:t>
            </w:r>
          </w:p>
        </w:tc>
      </w:tr>
      <w:tr w:rsidR="00A36F10" w:rsidRPr="006805F3" w:rsidTr="006C5D1E">
        <w:trPr>
          <w:trHeight w:val="345"/>
        </w:trPr>
        <w:tc>
          <w:tcPr>
            <w:tcW w:w="6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F10" w:rsidRPr="006805F3" w:rsidRDefault="00A36F10" w:rsidP="006C5D1E">
            <w:pPr>
              <w:jc w:val="right"/>
              <w:rPr>
                <w:sz w:val="24"/>
              </w:rPr>
            </w:pPr>
            <w:r w:rsidRPr="006805F3">
              <w:rPr>
                <w:sz w:val="24"/>
              </w:rPr>
              <w:t xml:space="preserve">Road Project Set-aside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F10" w:rsidRPr="006805F3" w:rsidRDefault="00A36F10" w:rsidP="006C5D1E">
            <w:pPr>
              <w:rPr>
                <w:sz w:val="24"/>
              </w:rPr>
            </w:pPr>
            <w:r w:rsidRPr="006805F3">
              <w:rPr>
                <w:sz w:val="24"/>
              </w:rPr>
              <w:t>$       (1,250.00)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6F10" w:rsidRPr="006805F3" w:rsidRDefault="00730797" w:rsidP="006C5D1E">
            <w:pPr>
              <w:rPr>
                <w:sz w:val="24"/>
              </w:rPr>
            </w:pPr>
            <w:r w:rsidRPr="006805F3">
              <w:rPr>
                <w:sz w:val="24"/>
              </w:rPr>
              <w:t xml:space="preserve"> $               6,670.56</w:t>
            </w:r>
          </w:p>
        </w:tc>
      </w:tr>
      <w:tr w:rsidR="00A36F10" w:rsidRPr="006805F3" w:rsidTr="006C5D1E">
        <w:trPr>
          <w:trHeight w:val="345"/>
        </w:trPr>
        <w:tc>
          <w:tcPr>
            <w:tcW w:w="6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6C5D1E">
            <w:pPr>
              <w:jc w:val="right"/>
              <w:rPr>
                <w:sz w:val="24"/>
              </w:rPr>
            </w:pPr>
            <w:r w:rsidRPr="006805F3">
              <w:rPr>
                <w:sz w:val="24"/>
              </w:rPr>
              <w:t xml:space="preserve">Street Lights </w:t>
            </w:r>
            <w:r w:rsidR="00730797" w:rsidRPr="006805F3">
              <w:rPr>
                <w:sz w:val="24"/>
              </w:rPr>
              <w:t>(11/28/2017 - 12/2</w:t>
            </w:r>
            <w:r w:rsidR="001F03DA" w:rsidRPr="006805F3">
              <w:rPr>
                <w:sz w:val="24"/>
              </w:rPr>
              <w:t>8</w:t>
            </w:r>
            <w:r w:rsidRPr="006805F3">
              <w:rPr>
                <w:sz w:val="24"/>
              </w:rPr>
              <w:t>/2017)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1F03DA">
            <w:pPr>
              <w:rPr>
                <w:sz w:val="24"/>
              </w:rPr>
            </w:pPr>
            <w:r w:rsidRPr="006805F3">
              <w:rPr>
                <w:sz w:val="24"/>
              </w:rPr>
              <w:t xml:space="preserve"> $         (</w:t>
            </w:r>
            <w:r w:rsidR="001F03DA" w:rsidRPr="006805F3">
              <w:rPr>
                <w:sz w:val="24"/>
              </w:rPr>
              <w:t>312.41</w:t>
            </w:r>
            <w:r w:rsidRPr="006805F3">
              <w:rPr>
                <w:sz w:val="24"/>
              </w:rPr>
              <w:t>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1F03DA">
            <w:pPr>
              <w:rPr>
                <w:sz w:val="24"/>
              </w:rPr>
            </w:pPr>
            <w:r w:rsidRPr="006805F3">
              <w:rPr>
                <w:sz w:val="24"/>
              </w:rPr>
              <w:t xml:space="preserve"> $               </w:t>
            </w:r>
            <w:r w:rsidR="001F03DA" w:rsidRPr="006805F3">
              <w:rPr>
                <w:sz w:val="24"/>
              </w:rPr>
              <w:t>6,358.15</w:t>
            </w:r>
          </w:p>
        </w:tc>
      </w:tr>
      <w:tr w:rsidR="00A36F10" w:rsidRPr="006805F3" w:rsidTr="006C5D1E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1F03DA" w:rsidP="006C5D1E">
            <w:pPr>
              <w:jc w:val="right"/>
              <w:rPr>
                <w:sz w:val="24"/>
              </w:rPr>
            </w:pPr>
            <w:r w:rsidRPr="006805F3">
              <w:rPr>
                <w:sz w:val="24"/>
              </w:rPr>
              <w:t>January</w:t>
            </w:r>
            <w:r w:rsidR="00A36F10" w:rsidRPr="006805F3">
              <w:rPr>
                <w:sz w:val="24"/>
              </w:rPr>
              <w:t xml:space="preserve"> Interest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1F03DA" w:rsidP="006C5D1E">
            <w:pPr>
              <w:rPr>
                <w:sz w:val="24"/>
              </w:rPr>
            </w:pPr>
            <w:r w:rsidRPr="006805F3">
              <w:rPr>
                <w:sz w:val="24"/>
              </w:rPr>
              <w:t xml:space="preserve"> $                0.67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6C5D1E">
            <w:pPr>
              <w:rPr>
                <w:sz w:val="24"/>
              </w:rPr>
            </w:pPr>
            <w:r w:rsidRPr="006805F3">
              <w:rPr>
                <w:sz w:val="24"/>
              </w:rPr>
              <w:t xml:space="preserve"> $               </w:t>
            </w:r>
            <w:r w:rsidR="001F03DA" w:rsidRPr="006805F3">
              <w:rPr>
                <w:sz w:val="24"/>
              </w:rPr>
              <w:t>6,358.82</w:t>
            </w:r>
          </w:p>
        </w:tc>
      </w:tr>
      <w:tr w:rsidR="00A36F10" w:rsidRPr="006805F3" w:rsidTr="006C5D1E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6C5D1E">
            <w:pPr>
              <w:jc w:val="right"/>
              <w:rPr>
                <w:sz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6C5D1E">
            <w:pPr>
              <w:rPr>
                <w:sz w:val="24"/>
              </w:rPr>
            </w:pPr>
            <w:r w:rsidRPr="006805F3">
              <w:rPr>
                <w:sz w:val="24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6C5D1E">
            <w:pPr>
              <w:rPr>
                <w:sz w:val="24"/>
              </w:rPr>
            </w:pPr>
          </w:p>
        </w:tc>
      </w:tr>
      <w:tr w:rsidR="00A36F10" w:rsidRPr="006805F3" w:rsidTr="006C5D1E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6C5D1E">
            <w:pPr>
              <w:jc w:val="right"/>
              <w:rPr>
                <w:sz w:val="24"/>
              </w:rPr>
            </w:pPr>
            <w:r w:rsidRPr="006805F3">
              <w:rPr>
                <w:sz w:val="24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6C5D1E">
            <w:pPr>
              <w:rPr>
                <w:sz w:val="24"/>
              </w:rPr>
            </w:pPr>
            <w:r w:rsidRPr="006805F3">
              <w:rPr>
                <w:sz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6C5D1E">
            <w:pPr>
              <w:rPr>
                <w:sz w:val="24"/>
              </w:rPr>
            </w:pPr>
            <w:r w:rsidRPr="006805F3">
              <w:rPr>
                <w:sz w:val="24"/>
              </w:rPr>
              <w:t xml:space="preserve">  </w:t>
            </w:r>
          </w:p>
        </w:tc>
      </w:tr>
      <w:tr w:rsidR="00A36F10" w:rsidRPr="006805F3" w:rsidTr="006C5D1E">
        <w:trPr>
          <w:trHeight w:val="345"/>
        </w:trPr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6C5D1E">
            <w:pPr>
              <w:jc w:val="right"/>
              <w:rPr>
                <w:sz w:val="24"/>
              </w:rPr>
            </w:pPr>
            <w:r w:rsidRPr="006805F3">
              <w:rPr>
                <w:sz w:val="24"/>
              </w:rPr>
              <w:t>Road Project Set-aside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6C5D1E">
            <w:pPr>
              <w:rPr>
                <w:sz w:val="24"/>
              </w:rPr>
            </w:pPr>
            <w:r w:rsidRPr="006805F3">
              <w:rPr>
                <w:sz w:val="24"/>
              </w:rPr>
              <w:t xml:space="preserve"> $         1,250.00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1F03DA">
            <w:pPr>
              <w:rPr>
                <w:sz w:val="24"/>
              </w:rPr>
            </w:pPr>
            <w:r w:rsidRPr="006805F3">
              <w:rPr>
                <w:sz w:val="24"/>
              </w:rPr>
              <w:t xml:space="preserve"> $               </w:t>
            </w:r>
            <w:r w:rsidR="001F03DA" w:rsidRPr="006805F3">
              <w:rPr>
                <w:sz w:val="24"/>
              </w:rPr>
              <w:t>7,608.82</w:t>
            </w:r>
          </w:p>
        </w:tc>
      </w:tr>
      <w:tr w:rsidR="00A36F10" w:rsidRPr="006805F3" w:rsidTr="006C5D1E">
        <w:trPr>
          <w:trHeight w:val="345"/>
        </w:trPr>
        <w:tc>
          <w:tcPr>
            <w:tcW w:w="67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6C5D1E">
            <w:pPr>
              <w:rPr>
                <w:b/>
                <w:bCs/>
                <w:sz w:val="24"/>
              </w:rPr>
            </w:pPr>
            <w:r w:rsidRPr="006805F3">
              <w:rPr>
                <w:b/>
                <w:bCs/>
                <w:sz w:val="24"/>
              </w:rPr>
              <w:t>Highway Savings Ending Balance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6C5D1E">
            <w:pPr>
              <w:rPr>
                <w:b/>
                <w:bCs/>
                <w:sz w:val="24"/>
              </w:rPr>
            </w:pPr>
            <w:r w:rsidRPr="006805F3">
              <w:rPr>
                <w:b/>
                <w:bCs/>
                <w:sz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1F03DA" w:rsidP="006C5D1E">
            <w:pPr>
              <w:rPr>
                <w:b/>
                <w:bCs/>
                <w:sz w:val="24"/>
              </w:rPr>
            </w:pPr>
            <w:bookmarkStart w:id="3" w:name="RANGE!C31"/>
            <w:r w:rsidRPr="006805F3">
              <w:rPr>
                <w:b/>
                <w:bCs/>
                <w:sz w:val="24"/>
              </w:rPr>
              <w:t xml:space="preserve"> $               7,608.82</w:t>
            </w:r>
            <w:r w:rsidR="00A36F10" w:rsidRPr="006805F3">
              <w:rPr>
                <w:b/>
                <w:bCs/>
                <w:sz w:val="24"/>
              </w:rPr>
              <w:t xml:space="preserve">         </w:t>
            </w:r>
            <w:bookmarkEnd w:id="3"/>
          </w:p>
        </w:tc>
      </w:tr>
      <w:tr w:rsidR="00A36F10" w:rsidRPr="006805F3" w:rsidTr="006C5D1E">
        <w:trPr>
          <w:trHeight w:val="165"/>
        </w:trPr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6C5D1E">
            <w:pPr>
              <w:jc w:val="right"/>
              <w:rPr>
                <w:sz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6C5D1E">
            <w:pPr>
              <w:rPr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6C5D1E">
            <w:pPr>
              <w:rPr>
                <w:sz w:val="24"/>
              </w:rPr>
            </w:pPr>
            <w:r w:rsidRPr="006805F3">
              <w:rPr>
                <w:sz w:val="24"/>
              </w:rPr>
              <w:t> </w:t>
            </w:r>
          </w:p>
        </w:tc>
      </w:tr>
      <w:tr w:rsidR="00A36F10" w:rsidRPr="006805F3" w:rsidTr="006C5D1E">
        <w:trPr>
          <w:trHeight w:val="660"/>
        </w:trPr>
        <w:tc>
          <w:tcPr>
            <w:tcW w:w="8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6C5D1E">
            <w:pPr>
              <w:jc w:val="right"/>
              <w:rPr>
                <w:b/>
                <w:bCs/>
                <w:sz w:val="36"/>
                <w:szCs w:val="36"/>
              </w:rPr>
            </w:pPr>
            <w:r w:rsidRPr="006805F3">
              <w:rPr>
                <w:b/>
                <w:bCs/>
                <w:sz w:val="36"/>
                <w:szCs w:val="36"/>
              </w:rPr>
              <w:t>TOTAL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F10" w:rsidRPr="006805F3" w:rsidRDefault="00A36F10" w:rsidP="006C5D1E">
            <w:pPr>
              <w:rPr>
                <w:b/>
                <w:bCs/>
                <w:sz w:val="36"/>
                <w:szCs w:val="36"/>
              </w:rPr>
            </w:pPr>
            <w:r w:rsidRPr="006805F3">
              <w:rPr>
                <w:b/>
                <w:bCs/>
                <w:sz w:val="36"/>
                <w:szCs w:val="36"/>
              </w:rPr>
              <w:t xml:space="preserve"> $  </w:t>
            </w:r>
            <w:r w:rsidR="001F03DA" w:rsidRPr="006805F3">
              <w:rPr>
                <w:b/>
                <w:bCs/>
                <w:sz w:val="36"/>
                <w:szCs w:val="36"/>
              </w:rPr>
              <w:t>38,979.93</w:t>
            </w:r>
            <w:r w:rsidRPr="006805F3"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</w:tbl>
    <w:p w:rsidR="00A36F10" w:rsidRPr="006805F3" w:rsidRDefault="00A36F10">
      <w:pPr>
        <w:rPr>
          <w:sz w:val="22"/>
          <w:szCs w:val="22"/>
        </w:rPr>
      </w:pPr>
    </w:p>
    <w:sectPr w:rsidR="00A36F10" w:rsidRPr="00680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4931"/>
    <w:multiLevelType w:val="hybridMultilevel"/>
    <w:tmpl w:val="7110142E"/>
    <w:lvl w:ilvl="0" w:tplc="AF44637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28"/>
    <w:rsid w:val="0011103D"/>
    <w:rsid w:val="001F03DA"/>
    <w:rsid w:val="00292162"/>
    <w:rsid w:val="00392863"/>
    <w:rsid w:val="005473F1"/>
    <w:rsid w:val="006805F3"/>
    <w:rsid w:val="00730797"/>
    <w:rsid w:val="00800128"/>
    <w:rsid w:val="008F49B9"/>
    <w:rsid w:val="00934E4D"/>
    <w:rsid w:val="009C7E3C"/>
    <w:rsid w:val="00A36F10"/>
    <w:rsid w:val="00E0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12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800128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0128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128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00128"/>
    <w:rPr>
      <w:rFonts w:ascii="Arial" w:eastAsia="Times New Roman" w:hAnsi="Arial" w:cs="Arial"/>
      <w:b/>
      <w:bCs/>
      <w:i/>
      <w:iCs/>
      <w:sz w:val="24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00128"/>
    <w:pPr>
      <w:ind w:left="720" w:right="720"/>
    </w:pPr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800128"/>
    <w:rPr>
      <w:rFonts w:ascii="Times New Roman" w:eastAsia="Times New Roman" w:hAnsi="Times New Roman" w:cs="Times New Roman"/>
      <w:i/>
      <w:iCs/>
      <w:color w:val="000000"/>
      <w:sz w:val="20"/>
      <w:szCs w:val="24"/>
    </w:rPr>
  </w:style>
  <w:style w:type="character" w:customStyle="1" w:styleId="MotionChar">
    <w:name w:val="Motion Char"/>
    <w:basedOn w:val="DefaultParagraphFont"/>
    <w:link w:val="Motion"/>
    <w:locked/>
    <w:rsid w:val="00800128"/>
    <w:rPr>
      <w:b/>
      <w:szCs w:val="24"/>
    </w:rPr>
  </w:style>
  <w:style w:type="paragraph" w:customStyle="1" w:styleId="Motion">
    <w:name w:val="Motion"/>
    <w:basedOn w:val="Normal"/>
    <w:link w:val="MotionChar"/>
    <w:qFormat/>
    <w:rsid w:val="00800128"/>
    <w:rPr>
      <w:rFonts w:asciiTheme="minorHAnsi" w:eastAsiaTheme="minorHAnsi" w:hAnsiTheme="minorHAnsi" w:cstheme="minorBid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12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800128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0128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128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00128"/>
    <w:rPr>
      <w:rFonts w:ascii="Arial" w:eastAsia="Times New Roman" w:hAnsi="Arial" w:cs="Arial"/>
      <w:b/>
      <w:bCs/>
      <w:i/>
      <w:iCs/>
      <w:sz w:val="24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00128"/>
    <w:pPr>
      <w:ind w:left="720" w:right="720"/>
    </w:pPr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800128"/>
    <w:rPr>
      <w:rFonts w:ascii="Times New Roman" w:eastAsia="Times New Roman" w:hAnsi="Times New Roman" w:cs="Times New Roman"/>
      <w:i/>
      <w:iCs/>
      <w:color w:val="000000"/>
      <w:sz w:val="20"/>
      <w:szCs w:val="24"/>
    </w:rPr>
  </w:style>
  <w:style w:type="character" w:customStyle="1" w:styleId="MotionChar">
    <w:name w:val="Motion Char"/>
    <w:basedOn w:val="DefaultParagraphFont"/>
    <w:link w:val="Motion"/>
    <w:locked/>
    <w:rsid w:val="00800128"/>
    <w:rPr>
      <w:b/>
      <w:szCs w:val="24"/>
    </w:rPr>
  </w:style>
  <w:style w:type="paragraph" w:customStyle="1" w:styleId="Motion">
    <w:name w:val="Motion"/>
    <w:basedOn w:val="Normal"/>
    <w:link w:val="MotionChar"/>
    <w:qFormat/>
    <w:rsid w:val="00800128"/>
    <w:rPr>
      <w:rFonts w:asciiTheme="minorHAnsi" w:eastAsiaTheme="minorHAnsi" w:hAnsiTheme="minorHAnsi" w:cstheme="minorBid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Rowe</dc:creator>
  <cp:lastModifiedBy>Lydia Rowe</cp:lastModifiedBy>
  <cp:revision>3</cp:revision>
  <dcterms:created xsi:type="dcterms:W3CDTF">2018-03-01T19:46:00Z</dcterms:created>
  <dcterms:modified xsi:type="dcterms:W3CDTF">2018-03-09T23:10:00Z</dcterms:modified>
</cp:coreProperties>
</file>